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2727" w14:textId="77777777" w:rsidR="00E445E4" w:rsidRDefault="00E445E4" w:rsidP="00B9102D"/>
    <w:tbl>
      <w:tblPr>
        <w:tblStyle w:val="TableGrid"/>
        <w:bidiVisual/>
        <w:tblW w:w="423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7548"/>
        <w:gridCol w:w="7"/>
        <w:gridCol w:w="1800"/>
      </w:tblGrid>
      <w:tr w:rsidR="00B9102D" w:rsidRPr="00BA45D2" w14:paraId="71784866" w14:textId="77777777" w:rsidTr="00BA45D2">
        <w:trPr>
          <w:jc w:val="center"/>
        </w:trPr>
        <w:tc>
          <w:tcPr>
            <w:tcW w:w="4034" w:type="pct"/>
            <w:shd w:val="clear" w:color="auto" w:fill="D9E2F3" w:themeFill="accent5" w:themeFillTint="33"/>
          </w:tcPr>
          <w:p w14:paraId="08971FE7" w14:textId="1352BD21" w:rsidR="00B9102D" w:rsidRPr="00BA45D2" w:rsidRDefault="00B9102D" w:rsidP="00BA45D2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>عنوان شاخص: ساماندهی منابع بودجه عمومی دولت</w:t>
            </w:r>
          </w:p>
        </w:tc>
        <w:tc>
          <w:tcPr>
            <w:tcW w:w="966" w:type="pct"/>
            <w:gridSpan w:val="2"/>
            <w:shd w:val="clear" w:color="auto" w:fill="D9E2F3" w:themeFill="accent5" w:themeFillTint="33"/>
          </w:tcPr>
          <w:p w14:paraId="28AF8B1B" w14:textId="77777777" w:rsidR="00B9102D" w:rsidRPr="00BA45D2" w:rsidRDefault="00B9102D" w:rsidP="005773A2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تعداد سنجه: </w:t>
            </w:r>
            <w:r w:rsidR="00FC6100"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B9102D" w:rsidRPr="00BA45D2" w14:paraId="3FD23081" w14:textId="77777777" w:rsidTr="00BA45D2">
        <w:trPr>
          <w:trHeight w:val="714"/>
          <w:jc w:val="center"/>
        </w:trPr>
        <w:tc>
          <w:tcPr>
            <w:tcW w:w="5000" w:type="pct"/>
            <w:gridSpan w:val="3"/>
          </w:tcPr>
          <w:p w14:paraId="2E7E56BC" w14:textId="77777777" w:rsidR="00B9102D" w:rsidRPr="00BA45D2" w:rsidRDefault="00B9102D" w:rsidP="005773A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تعریف و هدف شاخص:  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امکان ارتقا</w:t>
            </w:r>
            <w:r w:rsidR="00A23DF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ء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شفافیت</w:t>
            </w:r>
            <w:r w:rsidR="00A23DF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، ساماندهی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و کنترل‌های مالی با اخذ اطلاعات دستگاه اجرایی واریز کننده درآمد، ردیف بودجه‌ای و ... </w:t>
            </w:r>
            <w:r w:rsidR="001360D0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از طریق ارسال 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گزارش عملکرد منابع عمومی</w:t>
            </w:r>
            <w:r w:rsidR="00A23DF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(در مقاطع ماهانه)، علل</w:t>
            </w:r>
            <w:r w:rsidR="007A3142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عدم تحقق منابع عمومی</w:t>
            </w:r>
            <w:r w:rsidR="001360D0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،</w:t>
            </w:r>
            <w:r w:rsidR="007A3142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پیش</w:t>
            </w:r>
            <w:r w:rsidR="007A3142"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="007A3142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بینی وصول آنها در مقاطع ماهانه یا فصلی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1360D0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 درصد تحقق منابع</w:t>
            </w:r>
          </w:p>
        </w:tc>
      </w:tr>
      <w:tr w:rsidR="000138BA" w:rsidRPr="00BA45D2" w14:paraId="57468400" w14:textId="77777777" w:rsidTr="00BA45D2">
        <w:trPr>
          <w:trHeight w:val="435"/>
          <w:jc w:val="center"/>
        </w:trPr>
        <w:tc>
          <w:tcPr>
            <w:tcW w:w="5000" w:type="pct"/>
            <w:gridSpan w:val="3"/>
          </w:tcPr>
          <w:p w14:paraId="7D9BA644" w14:textId="77777777" w:rsidR="000138BA" w:rsidRPr="00BA45D2" w:rsidRDefault="000138BA" w:rsidP="005773A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واحد متولی شاخص در دستگاه ارزیابی شونده: 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ذیحسابی و اداره کل امور مالی</w:t>
            </w:r>
            <w:r w:rsidR="000D185E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قسمت بودجه و برنامه</w:t>
            </w:r>
            <w:r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‌‌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ریزی</w:t>
            </w:r>
          </w:p>
        </w:tc>
      </w:tr>
      <w:tr w:rsidR="007A3142" w:rsidRPr="00BA45D2" w14:paraId="69AE7977" w14:textId="77777777" w:rsidTr="00BA45D2">
        <w:trPr>
          <w:trHeight w:val="705"/>
          <w:jc w:val="center"/>
        </w:trPr>
        <w:tc>
          <w:tcPr>
            <w:tcW w:w="5000" w:type="pct"/>
            <w:gridSpan w:val="3"/>
          </w:tcPr>
          <w:p w14:paraId="4742D33C" w14:textId="77777777" w:rsidR="007A3142" w:rsidRPr="00BA45D2" w:rsidRDefault="007A3142" w:rsidP="005773A2">
            <w:pPr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مستند قانونی شاخص: 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ماده 33 ضوابط اجرایی قانون بودجه سال 1403 کل کشور (بر اساس ماده 37 قانون محاسبات عمومی کشور) که مراتب طی بخشنامه شماره 33628/56 مورخ 26/2/1403 به تمام دستگاه</w:t>
            </w:r>
            <w:r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های اجرایی ملی و ادارات کل امور اقتصادی و دارایی استان</w:t>
            </w:r>
            <w:r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ها ابلاغ شده است</w:t>
            </w:r>
            <w:bookmarkStart w:id="0" w:name="_GoBack"/>
            <w:bookmarkEnd w:id="0"/>
          </w:p>
        </w:tc>
      </w:tr>
      <w:tr w:rsidR="00B9102D" w:rsidRPr="00BA45D2" w14:paraId="0F9B4216" w14:textId="77777777" w:rsidTr="00BA45D2">
        <w:trPr>
          <w:trHeight w:val="422"/>
          <w:jc w:val="center"/>
        </w:trPr>
        <w:tc>
          <w:tcPr>
            <w:tcW w:w="5000" w:type="pct"/>
            <w:gridSpan w:val="3"/>
          </w:tcPr>
          <w:p w14:paraId="46D90B82" w14:textId="6614AC73" w:rsidR="00B9102D" w:rsidRPr="00BA45D2" w:rsidRDefault="00341844" w:rsidP="005773A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واحد متولی ارزیابی کننده: اداره کل </w:t>
            </w:r>
            <w:r w:rsidR="00F21D01"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اقتصادی و دارایی</w:t>
            </w:r>
          </w:p>
        </w:tc>
      </w:tr>
      <w:tr w:rsidR="00BA45D2" w:rsidRPr="00BA45D2" w14:paraId="6F85D576" w14:textId="77777777" w:rsidTr="00BA45D2">
        <w:trPr>
          <w:trHeight w:val="453"/>
          <w:jc w:val="center"/>
        </w:trPr>
        <w:tc>
          <w:tcPr>
            <w:tcW w:w="4038" w:type="pct"/>
            <w:gridSpan w:val="2"/>
            <w:shd w:val="clear" w:color="auto" w:fill="C5E0B3" w:themeFill="accent6" w:themeFillTint="66"/>
          </w:tcPr>
          <w:p w14:paraId="3298CBE6" w14:textId="7ED25CBB" w:rsidR="00BA45D2" w:rsidRPr="00BA45D2" w:rsidRDefault="00BA45D2" w:rsidP="00BA45D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عنوان سنجه 1: نسبت تحقق منابع به مصوب سال *                                                                                        </w:t>
            </w:r>
          </w:p>
        </w:tc>
        <w:tc>
          <w:tcPr>
            <w:tcW w:w="962" w:type="pct"/>
            <w:shd w:val="clear" w:color="auto" w:fill="C5E0B3" w:themeFill="accent6" w:themeFillTint="66"/>
          </w:tcPr>
          <w:p w14:paraId="524300E3" w14:textId="673C64B9" w:rsidR="00BA45D2" w:rsidRPr="00BA45D2" w:rsidRDefault="00BA45D2" w:rsidP="00BA45D2">
            <w:pPr>
              <w:jc w:val="center"/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وزن از 100: 25</w:t>
            </w:r>
          </w:p>
        </w:tc>
      </w:tr>
      <w:tr w:rsidR="00B9102D" w:rsidRPr="00BA45D2" w14:paraId="48CCDF04" w14:textId="77777777" w:rsidTr="00BA45D2">
        <w:trPr>
          <w:trHeight w:val="615"/>
          <w:jc w:val="center"/>
        </w:trPr>
        <w:tc>
          <w:tcPr>
            <w:tcW w:w="5000" w:type="pct"/>
            <w:gridSpan w:val="3"/>
          </w:tcPr>
          <w:p w14:paraId="7C5AF744" w14:textId="77777777" w:rsidR="00B9102D" w:rsidRPr="00BA45D2" w:rsidRDefault="000A59E2" w:rsidP="005773A2">
            <w:pPr>
              <w:shd w:val="clear" w:color="auto" w:fill="FFFFFF"/>
              <w:ind w:right="231"/>
              <w:contextualSpacing/>
              <w:rPr>
                <w:rFonts w:eastAsiaTheme="minorEastAsia"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نحوه ارزیابی و فرمول سنجش: </w:t>
            </w:r>
            <w:r w:rsidR="00C965A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بررسی میزان وصول منابع عمومی به تفکیک ردیف</w:t>
            </w:r>
            <w:r w:rsidR="00C965AF"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="00C965A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های درآمدی و محاسبه درصد تحقق آن نسبت به ارقام پیش</w:t>
            </w:r>
            <w:r w:rsidR="00C965AF"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="00C965A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بینی</w:t>
            </w:r>
            <w:r w:rsidR="00C965AF" w:rsidRPr="00BA45D2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‌</w:t>
            </w:r>
            <w:r w:rsidR="00C965AF" w:rsidRPr="00BA45D2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 (مصوب)</w:t>
            </w:r>
            <w:r w:rsidR="00310E1F"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:          100 </w:t>
            </w:r>
            <w:r w:rsidR="00310E1F" w:rsidRPr="00BA45D2">
              <w:rPr>
                <w:rFonts w:cs="B Mitra" w:hint="cs"/>
                <w:b/>
                <w:bCs/>
                <w:sz w:val="24"/>
                <w:szCs w:val="24"/>
              </w:rPr>
              <w:sym w:font="Wingdings 2" w:char="F0CD"/>
            </w:r>
            <w:r w:rsidR="00310E1F"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B Mitra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 xml:space="preserve">دستگاه وصولی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دستگاه مصوب</m:t>
                  </m:r>
                </m:den>
              </m:f>
            </m:oMath>
          </w:p>
        </w:tc>
      </w:tr>
      <w:tr w:rsidR="0017605A" w:rsidRPr="00BA45D2" w14:paraId="3BAFC8B5" w14:textId="77777777" w:rsidTr="00BA45D2">
        <w:trPr>
          <w:trHeight w:val="435"/>
          <w:jc w:val="center"/>
        </w:trPr>
        <w:tc>
          <w:tcPr>
            <w:tcW w:w="5000" w:type="pct"/>
            <w:gridSpan w:val="3"/>
          </w:tcPr>
          <w:p w14:paraId="76948B45" w14:textId="2E38642D" w:rsidR="0017605A" w:rsidRPr="00BA45D2" w:rsidRDefault="009C3160" w:rsidP="005773A2">
            <w:pPr>
              <w:shd w:val="clear" w:color="auto" w:fill="FFFFFF"/>
              <w:ind w:right="231"/>
              <w:contextualSpacing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/>
                <w:sz w:val="24"/>
                <w:szCs w:val="24"/>
                <w:rtl/>
              </w:rPr>
              <w:t>مستندات قابل قبول (قابل ارائه از سوی دستگاه):</w:t>
            </w:r>
          </w:p>
        </w:tc>
      </w:tr>
      <w:tr w:rsidR="00BA45D2" w:rsidRPr="00BA45D2" w14:paraId="42CC9B95" w14:textId="77777777" w:rsidTr="00BA45D2">
        <w:trPr>
          <w:trHeight w:val="444"/>
          <w:jc w:val="center"/>
        </w:trPr>
        <w:tc>
          <w:tcPr>
            <w:tcW w:w="4038" w:type="pct"/>
            <w:gridSpan w:val="2"/>
            <w:shd w:val="clear" w:color="auto" w:fill="C5E0B3" w:themeFill="accent6" w:themeFillTint="66"/>
          </w:tcPr>
          <w:p w14:paraId="13BDE861" w14:textId="77888C34" w:rsidR="00BA45D2" w:rsidRPr="00BA45D2" w:rsidRDefault="00BA45D2" w:rsidP="00BA45D2">
            <w:pPr>
              <w:rPr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عنوان سنجه 2:  اعلام دلایل عدم تحقق ردیف</w:t>
            </w:r>
            <w:r w:rsidRPr="00BA45D2">
              <w:rPr>
                <w:rFonts w:cs="B Mitra" w:hint="eastAsia"/>
                <w:b/>
                <w:bCs/>
                <w:color w:val="000000" w:themeColor="text1"/>
                <w:sz w:val="24"/>
                <w:szCs w:val="24"/>
                <w:rtl/>
              </w:rPr>
              <w:t>‌</w:t>
            </w: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های درآمدی                                                             </w:t>
            </w:r>
          </w:p>
        </w:tc>
        <w:tc>
          <w:tcPr>
            <w:tcW w:w="962" w:type="pct"/>
            <w:shd w:val="clear" w:color="auto" w:fill="C5E0B3" w:themeFill="accent6" w:themeFillTint="66"/>
          </w:tcPr>
          <w:p w14:paraId="61B39E4B" w14:textId="2EAC036B" w:rsidR="00BA45D2" w:rsidRPr="00BA45D2" w:rsidRDefault="00BA45D2" w:rsidP="00BA45D2">
            <w:pPr>
              <w:rPr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وزن از 100: 25</w:t>
            </w:r>
          </w:p>
        </w:tc>
      </w:tr>
      <w:tr w:rsidR="00BA45D2" w:rsidRPr="00BA45D2" w14:paraId="54185AA5" w14:textId="77777777" w:rsidTr="00BA45D2">
        <w:trPr>
          <w:trHeight w:val="624"/>
          <w:jc w:val="center"/>
        </w:trPr>
        <w:tc>
          <w:tcPr>
            <w:tcW w:w="5000" w:type="pct"/>
            <w:gridSpan w:val="3"/>
          </w:tcPr>
          <w:p w14:paraId="3E797207" w14:textId="4467DF13" w:rsidR="00BA45D2" w:rsidRPr="00BA45D2" w:rsidRDefault="00BA45D2" w:rsidP="00BA45D2">
            <w:pPr>
              <w:shd w:val="clear" w:color="auto" w:fill="FFFFFF"/>
              <w:ind w:right="231"/>
              <w:contextualSpacing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>نحوه ارزیابی و فرمول سنجش</w:t>
            </w:r>
            <w:r w:rsidRPr="00BA45D2">
              <w:rPr>
                <w:rFonts w:cs="B Mitra" w:hint="cs"/>
                <w:sz w:val="24"/>
                <w:szCs w:val="24"/>
                <w:rtl/>
              </w:rPr>
              <w:t>:  وصول علل عدم تحقق کامل ردیف</w:t>
            </w:r>
            <w:r w:rsidRPr="00BA45D2">
              <w:rPr>
                <w:rFonts w:cs="B Mitra" w:hint="eastAsia"/>
                <w:sz w:val="24"/>
                <w:szCs w:val="24"/>
                <w:rtl/>
              </w:rPr>
              <w:t>‌</w:t>
            </w:r>
            <w:r w:rsidRPr="00BA45D2">
              <w:rPr>
                <w:rFonts w:cs="B Mitra" w:hint="cs"/>
                <w:sz w:val="24"/>
                <w:szCs w:val="24"/>
                <w:rtl/>
              </w:rPr>
              <w:t xml:space="preserve">های درآمدی مندرج در جدول شماره (5) قانون بودجه سالانه در مقاطع سه ماهه:              </w:t>
            </w:r>
            <w:r w:rsidRPr="00BA45D2">
              <w:rPr>
                <w:rFonts w:ascii="Cambria Math" w:hAnsi="Cambria Math" w:cs="B Mitra"/>
                <w:b/>
                <w:bCs/>
                <w:sz w:val="24"/>
                <w:szCs w:val="24"/>
              </w:rPr>
              <w:t>100</w:t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</w:rPr>
              <w:sym w:font="Wingdings 2" w:char="F0CD"/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B Mitra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 xml:space="preserve">دستگاه قبول قابل پاسخهای تعداد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دستگاه از تحقق عدم پیگیری مکاتبات تعداد</m:t>
                  </m:r>
                </m:den>
              </m:f>
            </m:oMath>
          </w:p>
        </w:tc>
      </w:tr>
      <w:tr w:rsidR="00BA45D2" w:rsidRPr="00BA45D2" w14:paraId="3710AED7" w14:textId="77777777" w:rsidTr="00BA45D2">
        <w:trPr>
          <w:trHeight w:val="435"/>
          <w:jc w:val="center"/>
        </w:trPr>
        <w:tc>
          <w:tcPr>
            <w:tcW w:w="5000" w:type="pct"/>
            <w:gridSpan w:val="3"/>
          </w:tcPr>
          <w:p w14:paraId="455A5F8E" w14:textId="77777777" w:rsidR="00BA45D2" w:rsidRPr="00BA45D2" w:rsidRDefault="00BA45D2" w:rsidP="00BA45D2">
            <w:pPr>
              <w:shd w:val="clear" w:color="auto" w:fill="FFFFFF" w:themeFill="background1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مستندات قابل قبول (قابل ارائه از سوی دستگاه):  </w:t>
            </w:r>
            <w:r w:rsidRPr="00BA45D2">
              <w:rPr>
                <w:rFonts w:cs="B Mitra" w:hint="cs"/>
                <w:color w:val="000000"/>
                <w:sz w:val="24"/>
                <w:szCs w:val="24"/>
                <w:rtl/>
              </w:rPr>
              <w:t>ارائه فرم‌های تکمیل شده حاوی دلایل عدم تحقق منابع عمومی و پاسخ به مکاتبات فصلی پیگیری عدم تحقق منابع</w:t>
            </w:r>
          </w:p>
        </w:tc>
      </w:tr>
      <w:tr w:rsidR="00BA45D2" w:rsidRPr="00BA45D2" w14:paraId="09D89E43" w14:textId="77777777" w:rsidTr="00BA45D2">
        <w:trPr>
          <w:trHeight w:val="417"/>
          <w:jc w:val="center"/>
        </w:trPr>
        <w:tc>
          <w:tcPr>
            <w:tcW w:w="4038" w:type="pct"/>
            <w:gridSpan w:val="2"/>
            <w:shd w:val="clear" w:color="auto" w:fill="C5E0B3" w:themeFill="accent6" w:themeFillTint="66"/>
          </w:tcPr>
          <w:p w14:paraId="41B59732" w14:textId="473F02A8" w:rsidR="00BA45D2" w:rsidRPr="00BA45D2" w:rsidRDefault="00BA45D2" w:rsidP="00BA45D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عنوان سنجه 3:  ارسال به موقع گزارش عملکرد منابع عمومی                                                                      </w:t>
            </w:r>
          </w:p>
        </w:tc>
        <w:tc>
          <w:tcPr>
            <w:tcW w:w="962" w:type="pct"/>
            <w:shd w:val="clear" w:color="auto" w:fill="C5E0B3" w:themeFill="accent6" w:themeFillTint="66"/>
          </w:tcPr>
          <w:p w14:paraId="1610494C" w14:textId="5755C0DF" w:rsidR="00BA45D2" w:rsidRPr="00BA45D2" w:rsidRDefault="00BA45D2" w:rsidP="00BA45D2">
            <w:pPr>
              <w:rPr>
                <w:rFonts w:cs="B Mitra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وزن از 100: 50</w:t>
            </w:r>
          </w:p>
        </w:tc>
      </w:tr>
      <w:tr w:rsidR="00BA45D2" w:rsidRPr="00BA45D2" w14:paraId="5C8756FA" w14:textId="77777777" w:rsidTr="00BA45D2">
        <w:trPr>
          <w:trHeight w:val="552"/>
          <w:jc w:val="center"/>
        </w:trPr>
        <w:tc>
          <w:tcPr>
            <w:tcW w:w="5000" w:type="pct"/>
            <w:gridSpan w:val="3"/>
          </w:tcPr>
          <w:p w14:paraId="563C25EA" w14:textId="77777777" w:rsidR="00BA45D2" w:rsidRPr="00BA45D2" w:rsidRDefault="00BA45D2" w:rsidP="00BA45D2">
            <w:pPr>
              <w:shd w:val="clear" w:color="auto" w:fill="FFFFFF"/>
              <w:ind w:right="231"/>
              <w:contextualSpacing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نحوه ارزیابی و فرمول سنجش: </w:t>
            </w:r>
            <w:r w:rsidRPr="00BA45D2">
              <w:rPr>
                <w:rFonts w:cs="B Mitra" w:hint="cs"/>
                <w:sz w:val="24"/>
                <w:szCs w:val="24"/>
                <w:rtl/>
              </w:rPr>
              <w:t xml:space="preserve">تعداد گزارشات واصله از دستگاه‌های اجرایی مشمول (وصول کننده منابع عمومی) به کل گزارش پیش‌بینی شده در قانون </w:t>
            </w: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  <w:rtl/>
              </w:rPr>
              <w:t>100</w:t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</w:rPr>
              <w:sym w:font="Wingdings 2" w:char="F0CD"/>
            </w:r>
            <w:r w:rsidRPr="00BA45D2">
              <w:rPr>
                <w:rFonts w:ascii="Cambria Math" w:hAnsi="Cambria Math"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A45D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B Mitra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دستگاه</m:t>
                  </m:r>
                  <m:r>
                    <m:rPr>
                      <m:sty m:val="b"/>
                    </m:rPr>
                    <w:rPr>
                      <w:rFonts w:ascii="Cambria Math" w:hAnsi="Cambria Math" w:cs="B Mitra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از</m:t>
                  </m:r>
                  <m:r>
                    <m:rPr>
                      <m:sty m:val="b"/>
                    </m:rPr>
                    <w:rPr>
                      <w:rFonts w:ascii="Cambria Math" w:hAnsi="Cambria Math" w:cs="B Mitra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دریافتی</m:t>
                  </m:r>
                  <m:r>
                    <m:rPr>
                      <m:sty m:val="b"/>
                    </m:rPr>
                    <w:rPr>
                      <w:rFonts w:ascii="Cambria Math" w:hAnsi="Cambria Math" w:cs="B Mitra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>گزارشهای</m:t>
                  </m:r>
                  <m:r>
                    <m:rPr>
                      <m:sty m:val="b"/>
                    </m:rPr>
                    <w:rPr>
                      <w:rFonts w:ascii="Cambria Math" w:hAnsi="Cambria Math" w:cs="B Mitra"/>
                      <w:sz w:val="24"/>
                      <w:szCs w:val="24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B Mitra" w:hint="cs"/>
                      <w:sz w:val="24"/>
                      <w:szCs w:val="24"/>
                      <w:rtl/>
                    </w:rPr>
                    <m:t xml:space="preserve">تعداد 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Mitra"/>
                      <w:sz w:val="24"/>
                      <w:szCs w:val="24"/>
                    </w:rPr>
                    <m:t>12</m:t>
                  </m:r>
                </m:den>
              </m:f>
            </m:oMath>
          </w:p>
        </w:tc>
      </w:tr>
      <w:tr w:rsidR="00BA45D2" w:rsidRPr="00BA45D2" w14:paraId="2EF0FC5C" w14:textId="77777777" w:rsidTr="00BA45D2">
        <w:trPr>
          <w:trHeight w:val="435"/>
          <w:jc w:val="center"/>
        </w:trPr>
        <w:tc>
          <w:tcPr>
            <w:tcW w:w="5000" w:type="pct"/>
            <w:gridSpan w:val="3"/>
          </w:tcPr>
          <w:p w14:paraId="4F208DE9" w14:textId="77777777" w:rsidR="00BA45D2" w:rsidRPr="00BA45D2" w:rsidRDefault="00BA45D2" w:rsidP="00BA45D2">
            <w:pPr>
              <w:shd w:val="clear" w:color="auto" w:fill="FFFFFF" w:themeFill="background1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BA45D2">
              <w:rPr>
                <w:rFonts w:cs="B Mitra" w:hint="cs"/>
                <w:b/>
                <w:bCs/>
                <w:color w:val="000000"/>
                <w:sz w:val="24"/>
                <w:szCs w:val="24"/>
                <w:rtl/>
              </w:rPr>
              <w:t xml:space="preserve">مستندات قابل قبول (قابل ارائه از سوی دستگاه):  </w:t>
            </w:r>
            <w:r w:rsidRPr="00BA45D2">
              <w:rPr>
                <w:rFonts w:cs="B Mitra" w:hint="cs"/>
                <w:color w:val="000000"/>
                <w:sz w:val="24"/>
                <w:szCs w:val="24"/>
                <w:rtl/>
              </w:rPr>
              <w:t>ارائه فرم‌های تکمیل شده میزان وصول منابع عمومی تا آخر هر ماه به تفکیک ردیف</w:t>
            </w:r>
            <w:r w:rsidRPr="00BA45D2">
              <w:rPr>
                <w:rFonts w:cs="B Mitra" w:hint="eastAsia"/>
                <w:color w:val="000000"/>
                <w:sz w:val="24"/>
                <w:szCs w:val="24"/>
                <w:rtl/>
              </w:rPr>
              <w:t>‌</w:t>
            </w:r>
            <w:r w:rsidRPr="00BA45D2">
              <w:rPr>
                <w:rFonts w:cs="B Mitra" w:hint="cs"/>
                <w:color w:val="000000"/>
                <w:sz w:val="24"/>
                <w:szCs w:val="24"/>
                <w:rtl/>
              </w:rPr>
              <w:t>های درآمدی</w:t>
            </w:r>
          </w:p>
        </w:tc>
      </w:tr>
    </w:tbl>
    <w:p w14:paraId="3149CBB9" w14:textId="77777777" w:rsidR="00BA45D2" w:rsidRDefault="00651830" w:rsidP="00BA45D2">
      <w:pPr>
        <w:shd w:val="clear" w:color="auto" w:fill="FFFFFF"/>
        <w:spacing w:after="0" w:line="240" w:lineRule="auto"/>
        <w:ind w:left="740" w:right="231"/>
        <w:contextualSpacing/>
        <w:rPr>
          <w:rFonts w:cs="B Nazanin"/>
          <w:b/>
          <w:bCs/>
          <w:sz w:val="20"/>
          <w:szCs w:val="20"/>
          <w:rtl/>
        </w:rPr>
      </w:pPr>
      <w:r>
        <w:rPr>
          <w:rFonts w:hint="cs"/>
          <w:rtl/>
        </w:rPr>
        <w:t xml:space="preserve"> </w:t>
      </w:r>
      <w:r w:rsidR="00BA45D2" w:rsidRPr="00293BF8">
        <w:rPr>
          <w:rFonts w:cs="B Nazanin" w:hint="cs"/>
          <w:sz w:val="20"/>
          <w:szCs w:val="20"/>
          <w:rtl/>
        </w:rPr>
        <w:t>*</w:t>
      </w:r>
      <w:r w:rsidR="00BA45D2" w:rsidRPr="00293BF8">
        <w:rPr>
          <w:rFonts w:cs="B Nazanin" w:hint="cs"/>
          <w:b/>
          <w:bCs/>
          <w:sz w:val="20"/>
          <w:szCs w:val="20"/>
          <w:rtl/>
        </w:rPr>
        <w:t xml:space="preserve"> </w:t>
      </w:r>
      <w:r w:rsidR="00BA45D2">
        <w:rPr>
          <w:rFonts w:cs="B Nazanin" w:hint="cs"/>
          <w:b/>
          <w:bCs/>
          <w:sz w:val="20"/>
          <w:szCs w:val="20"/>
          <w:rtl/>
        </w:rPr>
        <w:t xml:space="preserve">با توجه به اینکه کلمه </w:t>
      </w:r>
      <w:r w:rsidR="00BA45D2" w:rsidRPr="00572F9C">
        <w:rPr>
          <w:rFonts w:cs="B Nazanin" w:hint="cs"/>
          <w:b/>
          <w:bCs/>
          <w:sz w:val="20"/>
          <w:szCs w:val="20"/>
          <w:rtl/>
        </w:rPr>
        <w:t>"پیش</w:t>
      </w:r>
      <w:r w:rsidR="00BA45D2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BA45D2" w:rsidRPr="00572F9C">
        <w:rPr>
          <w:rFonts w:cs="B Nazanin" w:hint="cs"/>
          <w:b/>
          <w:bCs/>
          <w:sz w:val="20"/>
          <w:szCs w:val="20"/>
          <w:rtl/>
        </w:rPr>
        <w:t>بینی"</w:t>
      </w:r>
      <w:r w:rsidR="00BA45D2">
        <w:rPr>
          <w:rFonts w:cs="B Nazanin" w:hint="cs"/>
          <w:b/>
          <w:bCs/>
          <w:sz w:val="20"/>
          <w:szCs w:val="20"/>
          <w:rtl/>
        </w:rPr>
        <w:t xml:space="preserve"> در سنجه (1) به دو مفهوم: 1- ارقام پیش</w:t>
      </w:r>
      <w:r w:rsidR="00BA45D2">
        <w:rPr>
          <w:rFonts w:cs="B Nazanin" w:hint="eastAsia"/>
          <w:b/>
          <w:bCs/>
          <w:sz w:val="20"/>
          <w:szCs w:val="20"/>
          <w:rtl/>
        </w:rPr>
        <w:t>‌</w:t>
      </w:r>
      <w:r w:rsidR="00BA45D2">
        <w:rPr>
          <w:rFonts w:cs="B Nazanin" w:hint="cs"/>
          <w:b/>
          <w:bCs/>
          <w:sz w:val="20"/>
          <w:szCs w:val="20"/>
          <w:rtl/>
        </w:rPr>
        <w:t>بینی</w:t>
      </w:r>
      <w:r w:rsidR="00BA45D2">
        <w:rPr>
          <w:rFonts w:cs="B Nazanin" w:hint="eastAsia"/>
          <w:b/>
          <w:bCs/>
          <w:sz w:val="20"/>
          <w:szCs w:val="20"/>
          <w:rtl/>
        </w:rPr>
        <w:t>‌</w:t>
      </w:r>
      <w:r w:rsidR="00BA45D2">
        <w:rPr>
          <w:rFonts w:cs="B Nazanin" w:hint="cs"/>
          <w:b/>
          <w:bCs/>
          <w:sz w:val="20"/>
          <w:szCs w:val="20"/>
          <w:rtl/>
        </w:rPr>
        <w:t>شده در قانون بودجه سنواتی (مصوب ردیف</w:t>
      </w:r>
      <w:r w:rsidR="00BA45D2">
        <w:rPr>
          <w:rFonts w:cs="B Nazanin" w:hint="eastAsia"/>
          <w:b/>
          <w:bCs/>
          <w:sz w:val="20"/>
          <w:szCs w:val="20"/>
          <w:rtl/>
        </w:rPr>
        <w:t>‌</w:t>
      </w:r>
      <w:r w:rsidR="00BA45D2">
        <w:rPr>
          <w:rFonts w:cs="B Nazanin" w:hint="cs"/>
          <w:b/>
          <w:bCs/>
          <w:sz w:val="20"/>
          <w:szCs w:val="20"/>
          <w:rtl/>
        </w:rPr>
        <w:t>های درآمدی) و 2-برآورد دستگاه از وصولی ردیف</w:t>
      </w:r>
      <w:r w:rsidR="00BA45D2">
        <w:rPr>
          <w:rFonts w:cs="B Nazanin" w:hint="eastAsia"/>
          <w:b/>
          <w:bCs/>
          <w:sz w:val="20"/>
          <w:szCs w:val="20"/>
          <w:rtl/>
        </w:rPr>
        <w:t>‌</w:t>
      </w:r>
      <w:r w:rsidR="00BA45D2">
        <w:rPr>
          <w:rFonts w:cs="B Nazanin" w:hint="cs"/>
          <w:b/>
          <w:bCs/>
          <w:sz w:val="20"/>
          <w:szCs w:val="20"/>
          <w:rtl/>
        </w:rPr>
        <w:t xml:space="preserve">های درآمدی،  قابل اطلاق است، </w:t>
      </w:r>
      <w:r w:rsidR="00BA45D2">
        <w:rPr>
          <w:rFonts w:cs="B Nazanin" w:hint="eastAsia"/>
          <w:b/>
          <w:bCs/>
          <w:sz w:val="20"/>
          <w:szCs w:val="20"/>
          <w:rtl/>
        </w:rPr>
        <w:t>‌</w:t>
      </w:r>
      <w:r w:rsidR="00BA45D2" w:rsidRPr="00572F9C">
        <w:rPr>
          <w:rFonts w:cs="B Nazanin" w:hint="cs"/>
          <w:b/>
          <w:bCs/>
          <w:sz w:val="20"/>
          <w:szCs w:val="20"/>
          <w:rtl/>
        </w:rPr>
        <w:t>لذا پیشنهاد می</w:t>
      </w:r>
      <w:r w:rsidR="00BA45D2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BA45D2" w:rsidRPr="00572F9C">
        <w:rPr>
          <w:rFonts w:cs="B Nazanin" w:hint="cs"/>
          <w:b/>
          <w:bCs/>
          <w:sz w:val="20"/>
          <w:szCs w:val="20"/>
          <w:rtl/>
        </w:rPr>
        <w:t>شود در سنجه شماره (1) به جای کلمه "پیش</w:t>
      </w:r>
      <w:r w:rsidR="00BA45D2" w:rsidRPr="00572F9C">
        <w:rPr>
          <w:rFonts w:cs="B Nazanin" w:hint="eastAsia"/>
          <w:b/>
          <w:bCs/>
          <w:sz w:val="20"/>
          <w:szCs w:val="20"/>
          <w:rtl/>
        </w:rPr>
        <w:t>‌</w:t>
      </w:r>
      <w:r w:rsidR="00BA45D2" w:rsidRPr="00572F9C">
        <w:rPr>
          <w:rFonts w:cs="B Nazanin" w:hint="cs"/>
          <w:b/>
          <w:bCs/>
          <w:sz w:val="20"/>
          <w:szCs w:val="20"/>
          <w:rtl/>
        </w:rPr>
        <w:t>بینی" از کلمه "مصوب سال" استفاده شود.</w:t>
      </w:r>
    </w:p>
    <w:p w14:paraId="65ED597F" w14:textId="77A881B4" w:rsidR="00651830" w:rsidRPr="005773A2" w:rsidRDefault="00651830" w:rsidP="00BA45D2">
      <w:pPr>
        <w:shd w:val="clear" w:color="auto" w:fill="FFFFFF"/>
        <w:spacing w:after="0" w:line="240" w:lineRule="auto"/>
        <w:ind w:left="598" w:right="231"/>
        <w:contextualSpacing/>
        <w:rPr>
          <w:rtl/>
        </w:rPr>
      </w:pPr>
    </w:p>
    <w:sectPr w:rsidR="00651830" w:rsidRPr="005773A2" w:rsidSect="00BA45D2">
      <w:headerReference w:type="default" r:id="rId6"/>
      <w:pgSz w:w="12240" w:h="15840"/>
      <w:pgMar w:top="1440" w:right="288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CC826A" w14:textId="77777777" w:rsidR="003E7B6D" w:rsidRDefault="003E7B6D" w:rsidP="00B9102D">
      <w:pPr>
        <w:spacing w:after="0" w:line="240" w:lineRule="auto"/>
      </w:pPr>
      <w:r>
        <w:separator/>
      </w:r>
    </w:p>
  </w:endnote>
  <w:endnote w:type="continuationSeparator" w:id="0">
    <w:p w14:paraId="5D7FE02F" w14:textId="77777777" w:rsidR="003E7B6D" w:rsidRDefault="003E7B6D" w:rsidP="00B91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A299D" w14:textId="77777777" w:rsidR="003E7B6D" w:rsidRDefault="003E7B6D" w:rsidP="00B9102D">
      <w:pPr>
        <w:spacing w:after="0" w:line="240" w:lineRule="auto"/>
      </w:pPr>
      <w:r>
        <w:separator/>
      </w:r>
    </w:p>
  </w:footnote>
  <w:footnote w:type="continuationSeparator" w:id="0">
    <w:p w14:paraId="702ED9A9" w14:textId="77777777" w:rsidR="003E7B6D" w:rsidRDefault="003E7B6D" w:rsidP="00B91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19BA4" w14:textId="33733E1E" w:rsidR="00BA45D2" w:rsidRDefault="00BA45D2" w:rsidP="00BA45D2">
    <w:pPr>
      <w:pStyle w:val="Header"/>
      <w:ind w:left="-1440"/>
      <w:rPr>
        <w:rFonts w:cs="B Titr"/>
      </w:rPr>
    </w:pPr>
    <w:r>
      <w:rPr>
        <w:rFonts w:cs="B Titr"/>
        <w:noProof/>
      </w:rPr>
      <w:drawing>
        <wp:anchor distT="0" distB="0" distL="114300" distR="114300" simplePos="0" relativeHeight="251658239" behindDoc="0" locked="0" layoutInCell="1" allowOverlap="1" wp14:anchorId="7A018332" wp14:editId="03573AF3">
          <wp:simplePos x="0" y="0"/>
          <wp:positionH relativeFrom="page">
            <wp:posOffset>10160</wp:posOffset>
          </wp:positionH>
          <wp:positionV relativeFrom="paragraph">
            <wp:posOffset>-436245</wp:posOffset>
          </wp:positionV>
          <wp:extent cx="7740015" cy="1064260"/>
          <wp:effectExtent l="0" t="0" r="0" b="2540"/>
          <wp:wrapThrough wrapText="bothSides">
            <wp:wrapPolygon edited="0">
              <wp:start x="0" y="0"/>
              <wp:lineTo x="0" y="14692"/>
              <wp:lineTo x="691" y="18558"/>
              <wp:lineTo x="691" y="18945"/>
              <wp:lineTo x="1276" y="21265"/>
              <wp:lineTo x="1435" y="21265"/>
              <wp:lineTo x="2339" y="21265"/>
              <wp:lineTo x="2499" y="21265"/>
              <wp:lineTo x="2977" y="18945"/>
              <wp:lineTo x="3934" y="18558"/>
              <wp:lineTo x="5316" y="14692"/>
              <wp:lineTo x="5316" y="12372"/>
              <wp:lineTo x="6380" y="6186"/>
              <wp:lineTo x="21531" y="4253"/>
              <wp:lineTo x="21531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015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B Titr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2C49127" wp14:editId="6722C470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6A2874" w14:textId="67C09BC2" w:rsidR="00BA45D2" w:rsidRDefault="00BA45D2" w:rsidP="00BA45D2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7130316" wp14:editId="45E4709A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0420EDA" w14:textId="77777777" w:rsidR="00BA45D2" w:rsidRDefault="00BA45D2" w:rsidP="00BA45D2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11409C9C" w14:textId="77777777" w:rsidR="00BA45D2" w:rsidRDefault="00BA45D2" w:rsidP="00BA45D2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C49127"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1F6A2874" w14:textId="67C09BC2" w:rsidR="00BA45D2" w:rsidRDefault="00BA45D2" w:rsidP="00BA45D2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7130316" wp14:editId="45E4709A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50420EDA" w14:textId="77777777" w:rsidR="00BA45D2" w:rsidRDefault="00BA45D2" w:rsidP="00BA45D2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11409C9C" w14:textId="77777777" w:rsidR="00BA45D2" w:rsidRDefault="00BA45D2" w:rsidP="00BA45D2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  <w:p w14:paraId="1F3CDF30" w14:textId="77777777" w:rsidR="00BA45D2" w:rsidRDefault="00BA45D2" w:rsidP="00BA45D2">
    <w:pPr>
      <w:pStyle w:val="Header"/>
      <w:bidi w:val="0"/>
    </w:pPr>
  </w:p>
  <w:p w14:paraId="7D4AEA9B" w14:textId="77777777" w:rsidR="00BA45D2" w:rsidRDefault="00BA45D2" w:rsidP="00BA45D2">
    <w:pPr>
      <w:pStyle w:val="Header"/>
      <w:bidi w:val="0"/>
      <w:ind w:left="-1440"/>
      <w:rPr>
        <w:bCs/>
      </w:rPr>
    </w:pPr>
  </w:p>
  <w:p w14:paraId="3E174906" w14:textId="77777777" w:rsidR="00BA45D2" w:rsidRDefault="00BA45D2" w:rsidP="00BA45D2">
    <w:pPr>
      <w:pStyle w:val="Header"/>
      <w:rPr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02D"/>
    <w:rsid w:val="00003D49"/>
    <w:rsid w:val="000138BA"/>
    <w:rsid w:val="00074AEA"/>
    <w:rsid w:val="00087D5C"/>
    <w:rsid w:val="000A59E2"/>
    <w:rsid w:val="000B292F"/>
    <w:rsid w:val="000D185E"/>
    <w:rsid w:val="000F033A"/>
    <w:rsid w:val="001360D0"/>
    <w:rsid w:val="00150FD8"/>
    <w:rsid w:val="001538B4"/>
    <w:rsid w:val="0017605A"/>
    <w:rsid w:val="001F6C2C"/>
    <w:rsid w:val="002117F1"/>
    <w:rsid w:val="00293BF8"/>
    <w:rsid w:val="00310E1F"/>
    <w:rsid w:val="00341844"/>
    <w:rsid w:val="003617F6"/>
    <w:rsid w:val="0037004B"/>
    <w:rsid w:val="00386FA9"/>
    <w:rsid w:val="003E7B6D"/>
    <w:rsid w:val="00401EF1"/>
    <w:rsid w:val="00427934"/>
    <w:rsid w:val="004E2874"/>
    <w:rsid w:val="00505DE2"/>
    <w:rsid w:val="00567CD8"/>
    <w:rsid w:val="00572F9C"/>
    <w:rsid w:val="005773A2"/>
    <w:rsid w:val="00613F03"/>
    <w:rsid w:val="00651830"/>
    <w:rsid w:val="00691926"/>
    <w:rsid w:val="00795FBD"/>
    <w:rsid w:val="007A3142"/>
    <w:rsid w:val="007E1DEE"/>
    <w:rsid w:val="0086415C"/>
    <w:rsid w:val="008C130B"/>
    <w:rsid w:val="00934292"/>
    <w:rsid w:val="0098215E"/>
    <w:rsid w:val="009C3160"/>
    <w:rsid w:val="00A00AB1"/>
    <w:rsid w:val="00A23DFF"/>
    <w:rsid w:val="00A41089"/>
    <w:rsid w:val="00AA1AFC"/>
    <w:rsid w:val="00AE3A7D"/>
    <w:rsid w:val="00B32DD3"/>
    <w:rsid w:val="00B41B50"/>
    <w:rsid w:val="00B9102D"/>
    <w:rsid w:val="00BA45D2"/>
    <w:rsid w:val="00C4594A"/>
    <w:rsid w:val="00C83756"/>
    <w:rsid w:val="00C965AF"/>
    <w:rsid w:val="00D02906"/>
    <w:rsid w:val="00DC5726"/>
    <w:rsid w:val="00E37F41"/>
    <w:rsid w:val="00E445E4"/>
    <w:rsid w:val="00E61B2F"/>
    <w:rsid w:val="00ED209A"/>
    <w:rsid w:val="00ED65FC"/>
    <w:rsid w:val="00F21D01"/>
    <w:rsid w:val="00FC6100"/>
    <w:rsid w:val="00FD2D53"/>
    <w:rsid w:val="00FF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7E68FB1"/>
  <w15:chartTrackingRefBased/>
  <w15:docId w15:val="{CA98D398-94C8-4838-AD82-8FC60BD6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02D"/>
    <w:pPr>
      <w:bidi/>
    </w:pPr>
    <w:rPr>
      <w:rFonts w:cs="Sakkal Majall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102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910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102D"/>
    <w:rPr>
      <w:rFonts w:cs="Sakkal Majalla"/>
      <w:sz w:val="20"/>
      <w:szCs w:val="20"/>
      <w:lang w:bidi="fa-IR"/>
    </w:rPr>
  </w:style>
  <w:style w:type="character" w:styleId="FootnoteReference">
    <w:name w:val="footnote reference"/>
    <w:basedOn w:val="DefaultParagraphFont"/>
    <w:uiPriority w:val="99"/>
    <w:semiHidden/>
    <w:unhideWhenUsed/>
    <w:rsid w:val="00B910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756"/>
    <w:rPr>
      <w:rFonts w:ascii="Segoe UI" w:hAnsi="Segoe UI" w:cs="Segoe UI"/>
      <w:sz w:val="18"/>
      <w:szCs w:val="1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C83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756"/>
    <w:rPr>
      <w:rFonts w:cs="Sakkal Majalla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C837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756"/>
    <w:rPr>
      <w:rFonts w:cs="Sakkal Majalla"/>
      <w:lang w:bidi="fa-IR"/>
    </w:rPr>
  </w:style>
  <w:style w:type="paragraph" w:styleId="ListParagraph">
    <w:name w:val="List Paragraph"/>
    <w:basedOn w:val="Normal"/>
    <w:uiPriority w:val="34"/>
    <w:qFormat/>
    <w:rsid w:val="00293BF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10E1F"/>
    <w:rPr>
      <w:color w:val="80808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15E"/>
    <w:pPr>
      <w:spacing w:line="240" w:lineRule="auto"/>
    </w:pPr>
    <w:rPr>
      <w:rFonts w:cs="B Titr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15E"/>
    <w:rPr>
      <w:rFonts w:cs="B Titr"/>
      <w:sz w:val="20"/>
      <w:szCs w:val="20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38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مریم جوادزاده</dc:creator>
  <cp:keywords/>
  <dc:description/>
  <cp:lastModifiedBy>سيدمرتضي احمدي</cp:lastModifiedBy>
  <cp:revision>10</cp:revision>
  <cp:lastPrinted>2025-01-22T14:26:00Z</cp:lastPrinted>
  <dcterms:created xsi:type="dcterms:W3CDTF">2025-02-03T11:57:00Z</dcterms:created>
  <dcterms:modified xsi:type="dcterms:W3CDTF">2025-02-08T09:31:00Z</dcterms:modified>
</cp:coreProperties>
</file>